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4" w:rsidRPr="00D60E23" w:rsidRDefault="003B1B74" w:rsidP="003B1B74">
      <w:pPr>
        <w:tabs>
          <w:tab w:val="left" w:pos="7605"/>
        </w:tabs>
        <w:rPr>
          <w:rFonts w:cs="Arial"/>
          <w:b/>
          <w:color w:val="6F7982"/>
          <w:sz w:val="44"/>
          <w:szCs w:val="44"/>
        </w:rPr>
      </w:pPr>
      <w:r w:rsidRPr="00D60E23">
        <w:rPr>
          <w:rFonts w:cs="Arial"/>
          <w:b/>
          <w:color w:val="6F7982"/>
          <w:sz w:val="44"/>
          <w:szCs w:val="44"/>
        </w:rPr>
        <w:t>LISTAS DE VERIFICAÇÃO</w:t>
      </w:r>
    </w:p>
    <w:tbl>
      <w:tblPr>
        <w:tblStyle w:val="LightList-Accent3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FBF2C"/>
        <w:tblLook w:val="04A0"/>
      </w:tblPr>
      <w:tblGrid>
        <w:gridCol w:w="11340"/>
      </w:tblGrid>
      <w:tr w:rsidR="003B1B74" w:rsidTr="004224FC">
        <w:trPr>
          <w:cnfStyle w:val="100000000000"/>
          <w:trHeight w:hRule="exact" w:val="851"/>
        </w:trPr>
        <w:tc>
          <w:tcPr>
            <w:cnfStyle w:val="001000000000"/>
            <w:tcW w:w="11340" w:type="dxa"/>
            <w:shd w:val="clear" w:color="auto" w:fill="8FBF2C"/>
            <w:tcMar>
              <w:top w:w="113" w:type="dxa"/>
              <w:bottom w:w="113" w:type="dxa"/>
            </w:tcMar>
            <w:vAlign w:val="center"/>
          </w:tcPr>
          <w:p w:rsidR="003B1B74" w:rsidRPr="004224FC" w:rsidRDefault="00B7120D" w:rsidP="00557022">
            <w:pPr>
              <w:tabs>
                <w:tab w:val="left" w:pos="7605"/>
              </w:tabs>
              <w:rPr>
                <w:rFonts w:cs="Arial"/>
                <w:sz w:val="36"/>
                <w:szCs w:val="36"/>
              </w:rPr>
            </w:pPr>
            <w:r w:rsidRPr="00B7120D">
              <w:rPr>
                <w:rFonts w:cs="Arial"/>
                <w:sz w:val="36"/>
                <w:szCs w:val="36"/>
              </w:rPr>
              <w:t>ELEVAÇÃO E QUEDA DE OBJECTOS</w:t>
            </w:r>
          </w:p>
        </w:tc>
      </w:tr>
    </w:tbl>
    <w:tbl>
      <w:tblPr>
        <w:tblW w:w="0" w:type="auto"/>
        <w:tblInd w:w="70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709"/>
        <w:gridCol w:w="709"/>
        <w:gridCol w:w="708"/>
      </w:tblGrid>
      <w:tr w:rsidR="00D60E23" w:rsidRPr="006A07C4" w:rsidTr="004224FC">
        <w:trPr>
          <w:trHeight w:hRule="exact" w:val="680"/>
        </w:trPr>
        <w:tc>
          <w:tcPr>
            <w:tcW w:w="11340" w:type="dxa"/>
            <w:gridSpan w:val="4"/>
            <w:shd w:val="clear" w:color="auto" w:fill="404040" w:themeFill="text1" w:themeFillTint="BF"/>
            <w:tcMar>
              <w:top w:w="113" w:type="dxa"/>
              <w:bottom w:w="113" w:type="dxa"/>
            </w:tcMar>
            <w:vAlign w:val="center"/>
          </w:tcPr>
          <w:p w:rsidR="006A07C4" w:rsidRPr="002E3F1B" w:rsidRDefault="006A07C4" w:rsidP="006A07C4">
            <w:pPr>
              <w:pStyle w:val="Heading3"/>
              <w:spacing w:line="360" w:lineRule="auto"/>
              <w:jc w:val="both"/>
              <w:rPr>
                <w:rFonts w:asciiTheme="minorHAnsi" w:hAnsiTheme="minorHAnsi" w:cs="Verdana"/>
                <w:sz w:val="6"/>
                <w:szCs w:val="6"/>
              </w:rPr>
            </w:pPr>
          </w:p>
          <w:p w:rsidR="006A07C4" w:rsidRPr="002E3F1B" w:rsidRDefault="00B7120D" w:rsidP="006A07C4">
            <w:pPr>
              <w:pStyle w:val="Heading3"/>
              <w:spacing w:line="360" w:lineRule="auto"/>
              <w:jc w:val="both"/>
              <w:rPr>
                <w:rFonts w:asciiTheme="minorHAnsi" w:hAnsiTheme="minorHAnsi" w:cs="Verdana"/>
                <w:color w:val="FFFFFF" w:themeColor="background1"/>
                <w:sz w:val="24"/>
                <w:szCs w:val="24"/>
              </w:rPr>
            </w:pPr>
            <w:r w:rsidRPr="00B7120D">
              <w:rPr>
                <w:rFonts w:asciiTheme="minorHAnsi" w:hAnsiTheme="minorHAnsi" w:cs="Verdana"/>
                <w:color w:val="FFFFFF" w:themeColor="background1"/>
                <w:sz w:val="24"/>
                <w:szCs w:val="24"/>
              </w:rPr>
              <w:t>Planificação da Segurança/ Qualificação dos Operadores/ Protecções, Equipamentos e Máquinas Seguras</w:t>
            </w:r>
          </w:p>
        </w:tc>
      </w:tr>
      <w:tr w:rsidR="004224FC" w:rsidRPr="001A08A7" w:rsidTr="00ED3B1D">
        <w:trPr>
          <w:trHeight w:hRule="exact" w:val="170"/>
        </w:trPr>
        <w:tc>
          <w:tcPr>
            <w:tcW w:w="9214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3B1D" w:rsidRPr="002E3F1B" w:rsidTr="00ED3B1D">
        <w:trPr>
          <w:trHeight w:hRule="exact" w:val="567"/>
        </w:trPr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  <w:shd w:val="clear" w:color="auto" w:fill="6F7982"/>
            <w:tcMar>
              <w:top w:w="113" w:type="dxa"/>
              <w:bottom w:w="0" w:type="dxa"/>
            </w:tcMar>
            <w:vAlign w:val="center"/>
          </w:tcPr>
          <w:p w:rsidR="006A07C4" w:rsidRPr="0020743A" w:rsidRDefault="006A07C4" w:rsidP="000E6B74">
            <w:pPr>
              <w:spacing w:line="360" w:lineRule="auto"/>
              <w:jc w:val="both"/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20743A"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t>Responsável(eis</w:t>
            </w:r>
            <w:proofErr w:type="gramEnd"/>
            <w:r w:rsidR="002E3F1B" w:rsidRPr="0020743A"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6F7982"/>
            <w:tcMar>
              <w:top w:w="113" w:type="dxa"/>
              <w:bottom w:w="0" w:type="dxa"/>
            </w:tcMar>
            <w:vAlign w:val="center"/>
          </w:tcPr>
          <w:p w:rsidR="006A07C4" w:rsidRPr="0020743A" w:rsidRDefault="00ED3B1D" w:rsidP="000E6B74">
            <w:pPr>
              <w:spacing w:line="360" w:lineRule="auto"/>
              <w:jc w:val="center"/>
              <w:rPr>
                <w:rFonts w:cs="Verdana"/>
                <w:color w:val="FFFFFF" w:themeColor="background1"/>
                <w:sz w:val="20"/>
                <w:szCs w:val="20"/>
              </w:rPr>
            </w:pPr>
            <w:r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6F7982"/>
            <w:tcMar>
              <w:top w:w="113" w:type="dxa"/>
              <w:bottom w:w="0" w:type="dxa"/>
            </w:tcMar>
            <w:vAlign w:val="center"/>
          </w:tcPr>
          <w:p w:rsidR="006A07C4" w:rsidRPr="0020743A" w:rsidRDefault="00ED3B1D" w:rsidP="000E6B74">
            <w:pPr>
              <w:spacing w:line="360" w:lineRule="auto"/>
              <w:jc w:val="center"/>
              <w:rPr>
                <w:rFonts w:cs="Verdana"/>
                <w:color w:val="FFFFFF" w:themeColor="background1"/>
                <w:sz w:val="20"/>
                <w:szCs w:val="20"/>
              </w:rPr>
            </w:pPr>
            <w:r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t>NÃO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6F7982"/>
            <w:tcMar>
              <w:top w:w="113" w:type="dxa"/>
              <w:bottom w:w="0" w:type="dxa"/>
            </w:tcMar>
            <w:vAlign w:val="center"/>
          </w:tcPr>
          <w:p w:rsidR="006A07C4" w:rsidRPr="0020743A" w:rsidRDefault="006A07C4" w:rsidP="000E6B74">
            <w:pPr>
              <w:spacing w:line="360" w:lineRule="auto"/>
              <w:jc w:val="center"/>
              <w:rPr>
                <w:rFonts w:cs="Verdana"/>
                <w:color w:val="FFFFFF" w:themeColor="background1"/>
                <w:sz w:val="20"/>
                <w:szCs w:val="20"/>
              </w:rPr>
            </w:pPr>
            <w:r w:rsidRPr="0020743A"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1A08A7" w:rsidRPr="001A08A7" w:rsidTr="00D75AC6">
        <w:trPr>
          <w:trHeight w:hRule="exact" w:val="567"/>
        </w:trPr>
        <w:tc>
          <w:tcPr>
            <w:tcW w:w="9214" w:type="dxa"/>
            <w:tcBorders>
              <w:top w:val="single" w:sz="2" w:space="0" w:color="auto"/>
            </w:tcBorders>
            <w:shd w:val="clear" w:color="auto" w:fill="EEECE1" w:themeFill="background2"/>
            <w:vAlign w:val="center"/>
          </w:tcPr>
          <w:p w:rsidR="001A08A7" w:rsidRPr="001A08A7" w:rsidRDefault="001A08A7" w:rsidP="001A08A7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1</w:t>
            </w:r>
            <w:r w:rsidRPr="001A08A7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Existe planificação das operações de elevação de cargas?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EEECE1" w:themeFill="background2"/>
            <w:vAlign w:val="center"/>
          </w:tcPr>
          <w:p w:rsidR="001A08A7" w:rsidRPr="001A08A7" w:rsidRDefault="001A08A7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EEECE1" w:themeFill="background2"/>
            <w:vAlign w:val="center"/>
          </w:tcPr>
          <w:p w:rsidR="001A08A7" w:rsidRPr="001A08A7" w:rsidRDefault="001A08A7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EEECE1" w:themeFill="background2"/>
            <w:vAlign w:val="center"/>
          </w:tcPr>
          <w:p w:rsidR="001A08A7" w:rsidRPr="001A08A7" w:rsidRDefault="001A08A7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1A08A7">
              <w:rPr>
                <w:rFonts w:cs="Verdana"/>
                <w:b/>
                <w:sz w:val="20"/>
                <w:szCs w:val="20"/>
              </w:rPr>
              <w:t>2.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 xml:space="preserve">Foi tida em conta a diferente complexidade </w:t>
            </w:r>
            <w:proofErr w:type="gramStart"/>
            <w:r w:rsidR="00B7120D" w:rsidRPr="00B7120D">
              <w:rPr>
                <w:rFonts w:cs="Verdana"/>
                <w:sz w:val="20"/>
                <w:szCs w:val="20"/>
              </w:rPr>
              <w:t>( básica</w:t>
            </w:r>
            <w:proofErr w:type="gramEnd"/>
            <w:r w:rsidR="00B7120D" w:rsidRPr="00B7120D">
              <w:rPr>
                <w:rFonts w:cs="Verdana"/>
                <w:sz w:val="20"/>
                <w:szCs w:val="20"/>
              </w:rPr>
              <w:t>, standard ou complexa) das operações de elevação de carga 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02A4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8702A4" w:rsidRPr="001A08A7" w:rsidRDefault="008702A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3.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Quem procedeu à planificação das operações de elevação de cargas tem qualificação?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702A4" w:rsidRPr="001A08A7" w:rsidRDefault="008702A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702A4" w:rsidRPr="001A08A7" w:rsidRDefault="008702A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8702A4" w:rsidRPr="001A08A7" w:rsidRDefault="008702A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1A08A7">
              <w:rPr>
                <w:rFonts w:cs="Verdana"/>
                <w:sz w:val="20"/>
                <w:szCs w:val="20"/>
              </w:rPr>
              <w:t xml:space="preserve">4. </w:t>
            </w:r>
            <w:r w:rsidR="00B7120D" w:rsidRPr="00B7120D">
              <w:rPr>
                <w:rFonts w:cs="Verdana"/>
                <w:sz w:val="20"/>
                <w:szCs w:val="20"/>
              </w:rPr>
              <w:t>Estão definidas, claramente, as competências e responsabilidades de todos os envolvidos na movimentação mecânica das cargas?</w:t>
            </w:r>
          </w:p>
        </w:tc>
        <w:tc>
          <w:tcPr>
            <w:tcW w:w="709" w:type="dxa"/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5.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 xml:space="preserve">Existe informação sobre as condições de armazenagem dos acessórios de elevação </w:t>
            </w:r>
            <w:proofErr w:type="gramStart"/>
            <w:r w:rsidR="00B7120D" w:rsidRPr="00B7120D">
              <w:rPr>
                <w:rFonts w:cs="Verdana"/>
                <w:sz w:val="20"/>
                <w:szCs w:val="20"/>
              </w:rPr>
              <w:t>por forma a</w:t>
            </w:r>
            <w:proofErr w:type="gramEnd"/>
            <w:r w:rsidR="00B7120D" w:rsidRPr="00B7120D">
              <w:rPr>
                <w:rFonts w:cs="Verdana"/>
                <w:sz w:val="20"/>
                <w:szCs w:val="20"/>
              </w:rPr>
              <w:t xml:space="preserve"> não se danificarem ou deteriorarem?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6.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A avaliação de riscos, reportada a estas operações, é suficiente e adequada, quer no que se refere a riscos, quer no que se refere a medidas de prevenção a adoptar?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20D" w:rsidRPr="001A08A7" w:rsidTr="00D75AC6">
        <w:trPr>
          <w:trHeight w:hRule="exact" w:val="567"/>
        </w:trPr>
        <w:tc>
          <w:tcPr>
            <w:tcW w:w="11340" w:type="dxa"/>
            <w:gridSpan w:val="4"/>
            <w:shd w:val="clear" w:color="auto" w:fill="EEECE1" w:themeFill="background2"/>
            <w:vAlign w:val="center"/>
          </w:tcPr>
          <w:p w:rsidR="00B7120D" w:rsidRPr="001A08A7" w:rsidRDefault="00B7120D" w:rsidP="00B7120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7.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Pr="00B7120D">
              <w:rPr>
                <w:rFonts w:cs="Verdana"/>
                <w:b/>
                <w:sz w:val="20"/>
                <w:szCs w:val="20"/>
              </w:rPr>
              <w:t xml:space="preserve">Os operadores dos aparelhos elevatórios dispõem </w:t>
            </w:r>
            <w:proofErr w:type="gramStart"/>
            <w:r w:rsidRPr="00B7120D">
              <w:rPr>
                <w:rFonts w:cs="Verdana"/>
                <w:b/>
                <w:sz w:val="20"/>
                <w:szCs w:val="20"/>
              </w:rPr>
              <w:t>de</w:t>
            </w:r>
            <w:proofErr w:type="gramEnd"/>
            <w:r w:rsidRPr="00B7120D">
              <w:rPr>
                <w:rFonts w:cs="Verdana"/>
                <w:b/>
                <w:sz w:val="20"/>
                <w:szCs w:val="20"/>
              </w:rPr>
              <w:t>:</w:t>
            </w: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B7120D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7.1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Pr="00B7120D">
              <w:rPr>
                <w:rFonts w:cs="Verdana"/>
                <w:sz w:val="20"/>
                <w:szCs w:val="20"/>
              </w:rPr>
              <w:t>Formação sobre o modo de suspender e movimentar a carga bem como dos riscos que decorrem da utilização do equipamento?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20D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B7120D" w:rsidRPr="001A08A7" w:rsidRDefault="00B7120D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7.2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Pr="00B7120D">
              <w:rPr>
                <w:rFonts w:cs="Verdana"/>
                <w:sz w:val="20"/>
                <w:szCs w:val="20"/>
              </w:rPr>
              <w:t>Informação adequada sobre riscos e medidas de prevenção?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20D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B7120D" w:rsidRPr="001A08A7" w:rsidRDefault="00B7120D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7.3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Pr="00B7120D">
              <w:rPr>
                <w:rFonts w:cs="Verdana"/>
                <w:sz w:val="20"/>
                <w:szCs w:val="20"/>
              </w:rPr>
              <w:t>Idade mínima prevista na lei?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8.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Foram realizados os exames de saúde previstos no regime de organização e funcionamento das actividades de SST?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9.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 operador foi considerado apto (através da realização dos exames anteriormente referidos) para operar com este tipo de equipamento de trabalho?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10.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Os equipamentos de elevação e respectivos acessórios são adequados à carga a movimentar?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AE3369">
        <w:trPr>
          <w:trHeight w:hRule="exact" w:val="170"/>
        </w:trPr>
        <w:tc>
          <w:tcPr>
            <w:tcW w:w="9214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AE3369">
        <w:trPr>
          <w:trHeight w:hRule="exact" w:val="567"/>
        </w:trPr>
        <w:tc>
          <w:tcPr>
            <w:tcW w:w="9214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11.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Foram sujeitos às verificações e ensaios?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AE3369">
        <w:trPr>
          <w:trHeight w:hRule="exact" w:val="17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AE3369">
        <w:trPr>
          <w:trHeight w:hRule="exact" w:val="567"/>
        </w:trPr>
        <w:tc>
          <w:tcPr>
            <w:tcW w:w="9214" w:type="dxa"/>
            <w:tcBorders>
              <w:top w:val="single" w:sz="4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lastRenderedPageBreak/>
              <w:t>12.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 resultado de tais verificações e ensaios consta de relatório?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D75AC6">
        <w:trPr>
          <w:trHeight w:hRule="exact" w:val="170"/>
        </w:trPr>
        <w:tc>
          <w:tcPr>
            <w:tcW w:w="9214" w:type="dxa"/>
            <w:tcBorders>
              <w:top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13.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É assegurada a sua manutenção periódica? São feitos os respectivos registos?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14.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Possuem marcação CE?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15.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Os equipamentos de trabalho dispõem de Manual de Instruções em português?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16.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 xml:space="preserve">Os acessórios de elevação têm </w:t>
            </w:r>
            <w:proofErr w:type="gramStart"/>
            <w:r w:rsidR="00B7120D" w:rsidRPr="00B7120D">
              <w:rPr>
                <w:rFonts w:cs="Verdana"/>
                <w:sz w:val="20"/>
                <w:szCs w:val="20"/>
              </w:rPr>
              <w:t>inscrita</w:t>
            </w:r>
            <w:proofErr w:type="gramEnd"/>
            <w:r w:rsidR="00B7120D" w:rsidRPr="00B7120D">
              <w:rPr>
                <w:rFonts w:cs="Verdana"/>
                <w:sz w:val="20"/>
                <w:szCs w:val="20"/>
              </w:rPr>
              <w:t>, de forma bem legível, a indicação de carga útil admissível?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17.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 local onde o equipamento se encontra instalado garante a estabilidade durante a sua utilização?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24FC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Default="004224FC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224FC" w:rsidRPr="001A08A7" w:rsidRDefault="004224FC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E23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6A07C4" w:rsidRPr="001A08A7" w:rsidRDefault="006A07C4" w:rsidP="002E3F1B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8702A4">
              <w:rPr>
                <w:rFonts w:cs="Verdana"/>
                <w:b/>
                <w:sz w:val="20"/>
                <w:szCs w:val="20"/>
              </w:rPr>
              <w:t>18.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 acesso à cabina é feito através de escadas com protecção de risco de queda em altura e plataformas intermédias de 6 em 6 metros?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6A07C4" w:rsidRPr="001A08A7" w:rsidRDefault="006A07C4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Default="002D4B72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2D4B72" w:rsidRPr="008702A4" w:rsidRDefault="002D4B72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19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A estrutura do equipamento está ligada à terra?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Default="002D4B72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2D4B72" w:rsidRPr="008702A4" w:rsidRDefault="002D4B72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20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 equipamento dispõe de disjuntor diferencial?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Default="002D4B72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2D4B72" w:rsidRPr="008702A4" w:rsidRDefault="002D4B72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21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Existe risco de aproximação ou intersecção com condutores aéreos de electricidade e está garantida a distância de segurança (baixa tensão - contacto; média tensão – 3 metros; alta tensão – 5 metros)?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Default="002D4B72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2D4B72" w:rsidRPr="008702A4" w:rsidRDefault="002D4B72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22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As gruas possuem limitadores de raio de acção?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Default="002D4B72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2D4B72" w:rsidRPr="008702A4" w:rsidRDefault="002D4B72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23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>Os ganchos (incluindo os das lingas) possuem dispositivo (patilha de segurança) eficiente que evite o desprendimento da carga?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Default="002D4B72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D4B72" w:rsidRPr="001A08A7" w:rsidRDefault="002D4B72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72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2D4B72" w:rsidRPr="008702A4" w:rsidRDefault="002D4B72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24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="00B7120D" w:rsidRPr="00B7120D">
              <w:rPr>
                <w:rFonts w:cs="Verdana"/>
                <w:sz w:val="20"/>
                <w:szCs w:val="20"/>
              </w:rPr>
              <w:t xml:space="preserve">Os recipientes (ou estrados) destinados a içar ou arrear materiais estão providos de protecção adequada </w:t>
            </w:r>
            <w:proofErr w:type="gramStart"/>
            <w:r w:rsidR="00B7120D" w:rsidRPr="00B7120D">
              <w:rPr>
                <w:rFonts w:cs="Verdana"/>
                <w:sz w:val="20"/>
                <w:szCs w:val="20"/>
              </w:rPr>
              <w:t>por forma a que</w:t>
            </w:r>
            <w:proofErr w:type="gramEnd"/>
            <w:r w:rsidR="00B7120D" w:rsidRPr="00B7120D">
              <w:rPr>
                <w:rFonts w:cs="Verdana"/>
                <w:sz w:val="20"/>
                <w:szCs w:val="20"/>
              </w:rPr>
              <w:t xml:space="preserve"> não haja queda da carga (ou parte da carga) quando está a ser movimentada?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D4B72" w:rsidRPr="001A08A7" w:rsidRDefault="002D4B72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20D" w:rsidRPr="001A08A7" w:rsidTr="000E6B74">
        <w:trPr>
          <w:trHeight w:hRule="exact" w:val="170"/>
        </w:trPr>
        <w:tc>
          <w:tcPr>
            <w:tcW w:w="9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120D" w:rsidRDefault="00B7120D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120D" w:rsidRPr="001A08A7" w:rsidRDefault="00B7120D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120D" w:rsidRPr="001A08A7" w:rsidRDefault="00B7120D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7120D" w:rsidRPr="001A08A7" w:rsidRDefault="00B7120D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20D" w:rsidRPr="001A08A7" w:rsidTr="00D75AC6">
        <w:trPr>
          <w:trHeight w:hRule="exact" w:val="567"/>
        </w:trPr>
        <w:tc>
          <w:tcPr>
            <w:tcW w:w="9214" w:type="dxa"/>
            <w:shd w:val="clear" w:color="auto" w:fill="EEECE1" w:themeFill="background2"/>
            <w:vAlign w:val="center"/>
          </w:tcPr>
          <w:p w:rsidR="00B7120D" w:rsidRDefault="00B7120D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25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Pr="00B7120D">
              <w:rPr>
                <w:rFonts w:cs="Verdana"/>
                <w:sz w:val="20"/>
                <w:szCs w:val="20"/>
              </w:rPr>
              <w:t>Os locais de recepção das cargas dispõem de protecção colectiva destinada a prevenir o risco de queda em altura de pessoas e de materiais?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20D" w:rsidRPr="001A08A7" w:rsidTr="00D75AC6">
        <w:trPr>
          <w:trHeight w:hRule="exact" w:val="170"/>
        </w:trPr>
        <w:tc>
          <w:tcPr>
            <w:tcW w:w="9214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7120D" w:rsidRDefault="00B7120D" w:rsidP="000E6B74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7120D" w:rsidRPr="001A08A7" w:rsidRDefault="00B7120D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7120D" w:rsidRPr="001A08A7" w:rsidRDefault="00B7120D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7120D" w:rsidRPr="001A08A7" w:rsidRDefault="00B7120D" w:rsidP="000E6B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120D" w:rsidRPr="001A08A7" w:rsidTr="00D75AC6">
        <w:trPr>
          <w:trHeight w:hRule="exact" w:val="567"/>
        </w:trPr>
        <w:tc>
          <w:tcPr>
            <w:tcW w:w="9214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7120D" w:rsidRDefault="00B7120D" w:rsidP="002E3F1B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26</w:t>
            </w:r>
            <w:r w:rsidRPr="008702A4">
              <w:rPr>
                <w:rFonts w:cs="Verdana"/>
                <w:b/>
                <w:sz w:val="20"/>
                <w:szCs w:val="20"/>
              </w:rPr>
              <w:t>.</w:t>
            </w:r>
            <w:r w:rsidRPr="001A08A7">
              <w:rPr>
                <w:rFonts w:cs="Verdana"/>
                <w:sz w:val="20"/>
                <w:szCs w:val="20"/>
              </w:rPr>
              <w:t xml:space="preserve"> </w:t>
            </w:r>
            <w:r w:rsidRPr="00B7120D">
              <w:rPr>
                <w:rFonts w:cs="Verdana"/>
                <w:sz w:val="20"/>
                <w:szCs w:val="20"/>
              </w:rPr>
              <w:t>Os materiais são depositados após a sua movimentação ou elevação de forma a não constituírem novas fontes de risco?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7120D" w:rsidRPr="001A08A7" w:rsidRDefault="00B7120D" w:rsidP="008702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A07C4" w:rsidRDefault="006A07C4" w:rsidP="002E3F1B">
      <w:pPr>
        <w:tabs>
          <w:tab w:val="left" w:pos="7605"/>
        </w:tabs>
        <w:spacing w:line="240" w:lineRule="auto"/>
        <w:rPr>
          <w:rFonts w:cs="Arial"/>
          <w:b/>
          <w:color w:val="8FBF2C"/>
          <w:sz w:val="20"/>
          <w:szCs w:val="20"/>
        </w:rPr>
      </w:pPr>
    </w:p>
    <w:p w:rsidR="007B0CAA" w:rsidRDefault="007B0CAA" w:rsidP="007B0CAA">
      <w:pPr>
        <w:pStyle w:val="BodyText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Empresa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65.5pt;height:15.75pt" o:ole="">
            <v:imagedata r:id="rId7" o:title=""/>
          </v:shape>
          <w:control r:id="rId8" w:name="TextBox111311" w:shapeid="_x0000_i1030"/>
        </w:object>
      </w:r>
      <w:r>
        <w:rPr>
          <w:rFonts w:cs="Arial"/>
          <w:b/>
          <w:color w:val="8FBF2C"/>
          <w:szCs w:val="20"/>
        </w:rPr>
        <w:br/>
      </w:r>
      <w:r>
        <w:rPr>
          <w:rFonts w:cs="Arial"/>
          <w:b/>
          <w:color w:val="8FBF2C"/>
          <w:szCs w:val="20"/>
        </w:rPr>
        <w:br/>
      </w:r>
      <w:r>
        <w:rPr>
          <w:rFonts w:asciiTheme="minorHAnsi" w:hAnsiTheme="minorHAnsi"/>
          <w:szCs w:val="20"/>
        </w:rPr>
        <w:t>Local de Trabalho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032" type="#_x0000_t75" style="width:565.5pt;height:15.75pt" o:ole="">
            <v:imagedata r:id="rId7" o:title=""/>
          </v:shape>
          <w:control r:id="rId9" w:name="TextBox1113111" w:shapeid="_x0000_i1032"/>
        </w:object>
      </w:r>
    </w:p>
    <w:p w:rsidR="007B0CAA" w:rsidRPr="00DA02AD" w:rsidRDefault="007B0CAA" w:rsidP="007B0CAA">
      <w:pPr>
        <w:pStyle w:val="BodyText3"/>
        <w:jc w:val="left"/>
        <w:rPr>
          <w:rFonts w:asciiTheme="minorHAnsi" w:hAnsiTheme="minorHAnsi"/>
          <w:szCs w:val="20"/>
        </w:rPr>
      </w:pPr>
      <w:r>
        <w:rPr>
          <w:rFonts w:cs="Arial"/>
          <w:b/>
          <w:color w:val="8FBF2C"/>
          <w:szCs w:val="20"/>
        </w:rPr>
        <w:br/>
      </w:r>
      <w:r>
        <w:rPr>
          <w:rFonts w:asciiTheme="minorHAnsi" w:hAnsiTheme="minorHAnsi"/>
          <w:szCs w:val="20"/>
        </w:rPr>
        <w:t>Data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056" type="#_x0000_t75" style="width:14.25pt;height:15.75pt" o:ole="">
            <v:imagedata r:id="rId10" o:title=""/>
          </v:shape>
          <w:control r:id="rId11" w:name="TextBox111171" w:shapeid="_x0000_i1056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055" type="#_x0000_t75" style="width:14.25pt;height:15.75pt" o:ole="">
            <v:imagedata r:id="rId10" o:title=""/>
          </v:shape>
          <w:control r:id="rId12" w:name="TextBox111172" w:shapeid="_x0000_i1055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225" w:dyaOrig="225">
          <v:shape id="_x0000_i1054" type="#_x0000_t75" style="width:14.25pt;height:15.75pt" o:ole="">
            <v:imagedata r:id="rId10" o:title=""/>
          </v:shape>
          <w:control r:id="rId13" w:name="TextBox111173" w:shapeid="_x0000_i1054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053" type="#_x0000_t75" style="width:14.25pt;height:15.75pt" o:ole="">
            <v:imagedata r:id="rId10" o:title=""/>
          </v:shape>
          <w:control r:id="rId14" w:name="TextBox111174" w:shapeid="_x0000_i1053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225" w:dyaOrig="225">
          <v:shape id="_x0000_i1052" type="#_x0000_t75" style="width:14.25pt;height:15.75pt" o:ole="">
            <v:imagedata r:id="rId10" o:title=""/>
          </v:shape>
          <w:control r:id="rId15" w:name="TextBox111175" w:shapeid="_x0000_i1052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051" type="#_x0000_t75" style="width:14.25pt;height:15.75pt" o:ole="">
            <v:imagedata r:id="rId10" o:title=""/>
          </v:shape>
          <w:control r:id="rId16" w:name="TextBox111176" w:shapeid="_x0000_i105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50" type="#_x0000_t75" style="width:14.25pt;height:15.75pt" o:ole="">
            <v:imagedata r:id="rId10" o:title=""/>
          </v:shape>
          <w:control r:id="rId17" w:name="TextBox111177" w:shapeid="_x0000_i1050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49" type="#_x0000_t75" style="width:14.25pt;height:15.75pt" o:ole="">
            <v:imagedata r:id="rId10" o:title=""/>
          </v:shape>
          <w:control r:id="rId18" w:name="TextBox111178" w:shapeid="_x0000_i1049"/>
        </w:object>
      </w:r>
      <w:r>
        <w:rPr>
          <w:szCs w:val="20"/>
        </w:rPr>
        <w:br/>
      </w:r>
      <w:r>
        <w:rPr>
          <w:szCs w:val="20"/>
        </w:rPr>
        <w:lastRenderedPageBreak/>
        <w:br/>
      </w:r>
      <w:r>
        <w:rPr>
          <w:rFonts w:asciiTheme="minorHAnsi" w:hAnsiTheme="minorHAnsi"/>
          <w:szCs w:val="20"/>
        </w:rPr>
        <w:t>Responsável pelo preenchimento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058" type="#_x0000_t75" style="width:565.5pt;height:15.75pt" o:ole="">
            <v:imagedata r:id="rId7" o:title=""/>
          </v:shape>
          <w:control r:id="rId19" w:name="TextBox11131111" w:shapeid="_x0000_i1058"/>
        </w:object>
      </w:r>
    </w:p>
    <w:p w:rsidR="007B0CAA" w:rsidRPr="001A08A7" w:rsidRDefault="007B0CAA" w:rsidP="002E3F1B">
      <w:pPr>
        <w:tabs>
          <w:tab w:val="left" w:pos="7605"/>
        </w:tabs>
        <w:spacing w:line="240" w:lineRule="auto"/>
        <w:rPr>
          <w:rFonts w:cs="Arial"/>
          <w:b/>
          <w:color w:val="8FBF2C"/>
          <w:sz w:val="20"/>
          <w:szCs w:val="20"/>
        </w:rPr>
      </w:pPr>
    </w:p>
    <w:sectPr w:rsidR="007B0CAA" w:rsidRPr="001A08A7" w:rsidSect="00C478E6">
      <w:headerReference w:type="default" r:id="rId20"/>
      <w:footerReference w:type="default" r:id="rId21"/>
      <w:pgSz w:w="11906" w:h="16838"/>
      <w:pgMar w:top="1143" w:right="282" w:bottom="851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BB" w:rsidRDefault="00F700BB" w:rsidP="005368DB">
      <w:pPr>
        <w:spacing w:after="0" w:line="240" w:lineRule="auto"/>
      </w:pPr>
      <w:r>
        <w:separator/>
      </w:r>
    </w:p>
  </w:endnote>
  <w:endnote w:type="continuationSeparator" w:id="0">
    <w:p w:rsidR="00F700BB" w:rsidRDefault="00F700BB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7774"/>
      <w:docPartObj>
        <w:docPartGallery w:val="Page Numbers (Bottom of Page)"/>
        <w:docPartUnique/>
      </w:docPartObj>
    </w:sdtPr>
    <w:sdtEndPr>
      <w:rPr>
        <w:b/>
      </w:rPr>
    </w:sdtEndPr>
    <w:sdtContent>
      <w:p w:rsidR="00557022" w:rsidRDefault="00712480" w:rsidP="00557022">
        <w:pPr>
          <w:pStyle w:val="Footer"/>
          <w:tabs>
            <w:tab w:val="clear" w:pos="4252"/>
            <w:tab w:val="clear" w:pos="8504"/>
          </w:tabs>
          <w:jc w:val="right"/>
        </w:pPr>
        <w:r w:rsidRPr="00557022">
          <w:rPr>
            <w:b/>
            <w:color w:val="6F7982"/>
          </w:rPr>
          <w:fldChar w:fldCharType="begin"/>
        </w:r>
        <w:r w:rsidR="00557022" w:rsidRPr="00557022">
          <w:rPr>
            <w:b/>
            <w:color w:val="6F7982"/>
          </w:rPr>
          <w:instrText xml:space="preserve"> PAGE   \* MERGEFORMAT </w:instrText>
        </w:r>
        <w:r w:rsidRPr="00557022">
          <w:rPr>
            <w:b/>
            <w:color w:val="6F7982"/>
          </w:rPr>
          <w:fldChar w:fldCharType="separate"/>
        </w:r>
        <w:r w:rsidR="007B0CAA">
          <w:rPr>
            <w:b/>
            <w:noProof/>
            <w:color w:val="6F7982"/>
          </w:rPr>
          <w:t>3</w:t>
        </w:r>
        <w:r w:rsidRPr="00557022">
          <w:rPr>
            <w:b/>
            <w:color w:val="6F7982"/>
          </w:rPr>
          <w:fldChar w:fldCharType="end"/>
        </w:r>
      </w:p>
    </w:sdtContent>
  </w:sdt>
  <w:p w:rsidR="00553BCD" w:rsidRPr="00557022" w:rsidRDefault="00553BCD" w:rsidP="00557022">
    <w:pPr>
      <w:pStyle w:val="Footer"/>
      <w:pBdr>
        <w:top w:val="single" w:sz="24" w:space="5" w:color="9BBB59" w:themeColor="accent3"/>
      </w:pBdr>
      <w:tabs>
        <w:tab w:val="clear" w:pos="4252"/>
        <w:tab w:val="clear" w:pos="8504"/>
        <w:tab w:val="center" w:pos="3686"/>
        <w:tab w:val="right" w:pos="5954"/>
        <w:tab w:val="left" w:pos="7371"/>
      </w:tabs>
      <w:jc w:val="right"/>
      <w:rPr>
        <w:i/>
        <w:iCs/>
        <w:color w:val="8C8C8C" w:themeColor="background1" w:themeShade="8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BB" w:rsidRDefault="00F700BB" w:rsidP="005368DB">
      <w:pPr>
        <w:spacing w:after="0" w:line="240" w:lineRule="auto"/>
      </w:pPr>
      <w:r>
        <w:separator/>
      </w:r>
    </w:p>
  </w:footnote>
  <w:footnote w:type="continuationSeparator" w:id="0">
    <w:p w:rsidR="00F700BB" w:rsidRDefault="00F700BB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7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766"/>
    </w:tblGrid>
    <w:tr w:rsidR="005368DB" w:rsidTr="009371DD">
      <w:tc>
        <w:tcPr>
          <w:tcW w:w="11766" w:type="dxa"/>
        </w:tcPr>
        <w:p w:rsidR="005368DB" w:rsidRDefault="00447591" w:rsidP="003B1B74">
          <w:pPr>
            <w:pStyle w:val="Header"/>
            <w:tabs>
              <w:tab w:val="clear" w:pos="4252"/>
              <w:tab w:val="clear" w:pos="8504"/>
            </w:tabs>
            <w:ind w:left="176"/>
          </w:pPr>
          <w:r>
            <w:rPr>
              <w:noProof/>
              <w:lang w:eastAsia="pt-PT"/>
            </w:rPr>
            <w:drawing>
              <wp:inline distT="0" distB="0" distL="0" distR="0">
                <wp:extent cx="7334250" cy="1155065"/>
                <wp:effectExtent l="19050" t="0" r="0" b="0"/>
                <wp:docPr id="1" name="Picture 0" descr="header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68DB" w:rsidRDefault="005368DB" w:rsidP="00937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68DB"/>
    <w:rsid w:val="000A2C9A"/>
    <w:rsid w:val="000E4A7C"/>
    <w:rsid w:val="000F5053"/>
    <w:rsid w:val="001A08A7"/>
    <w:rsid w:val="001D2C65"/>
    <w:rsid w:val="0020743A"/>
    <w:rsid w:val="002D4B72"/>
    <w:rsid w:val="002E3F1B"/>
    <w:rsid w:val="003A79B0"/>
    <w:rsid w:val="003B1B74"/>
    <w:rsid w:val="004224FC"/>
    <w:rsid w:val="00447591"/>
    <w:rsid w:val="005368DB"/>
    <w:rsid w:val="00553BCD"/>
    <w:rsid w:val="00557022"/>
    <w:rsid w:val="006A07C4"/>
    <w:rsid w:val="00712480"/>
    <w:rsid w:val="007B0CAA"/>
    <w:rsid w:val="008702A4"/>
    <w:rsid w:val="00872A81"/>
    <w:rsid w:val="009371DD"/>
    <w:rsid w:val="00A44363"/>
    <w:rsid w:val="00AE3369"/>
    <w:rsid w:val="00B7120D"/>
    <w:rsid w:val="00C478E6"/>
    <w:rsid w:val="00C65672"/>
    <w:rsid w:val="00CF2293"/>
    <w:rsid w:val="00D60E23"/>
    <w:rsid w:val="00D75AC6"/>
    <w:rsid w:val="00ED3B1D"/>
    <w:rsid w:val="00F7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7C"/>
  </w:style>
  <w:style w:type="paragraph" w:styleId="Heading3">
    <w:name w:val="heading 3"/>
    <w:basedOn w:val="Normal"/>
    <w:next w:val="Normal"/>
    <w:link w:val="Heading3Char"/>
    <w:uiPriority w:val="99"/>
    <w:qFormat/>
    <w:rsid w:val="006A07C4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DB"/>
  </w:style>
  <w:style w:type="paragraph" w:styleId="Footer">
    <w:name w:val="footer"/>
    <w:basedOn w:val="Normal"/>
    <w:link w:val="FooterCha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DB"/>
  </w:style>
  <w:style w:type="table" w:styleId="TableGrid">
    <w:name w:val="Table Grid"/>
    <w:basedOn w:val="TableNormal"/>
    <w:uiPriority w:val="59"/>
    <w:rsid w:val="00536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3B1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FootnoteText">
    <w:name w:val="footnote text"/>
    <w:basedOn w:val="Normal"/>
    <w:link w:val="FootnoteTextChar"/>
    <w:uiPriority w:val="99"/>
    <w:rsid w:val="006A07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BodyText3">
    <w:name w:val="Body Text 3"/>
    <w:basedOn w:val="Normal"/>
    <w:link w:val="BodyText3Char"/>
    <w:semiHidden/>
    <w:rsid w:val="007B0CA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BodyText3Char">
    <w:name w:val="Body Text 3 Char"/>
    <w:basedOn w:val="DefaultParagraphFont"/>
    <w:link w:val="BodyText3"/>
    <w:semiHidden/>
    <w:rsid w:val="007B0CAA"/>
    <w:rPr>
      <w:rFonts w:ascii="Tahoma" w:eastAsia="Times New Roman" w:hAnsi="Tahoma" w:cs="Tahoma"/>
      <w:sz w:val="20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13E637CB7854AB0006F4892F88FE0" ma:contentTypeVersion="1" ma:contentTypeDescription="Criar um novo documento." ma:contentTypeScope="" ma:versionID="68c6137fabdf0a881563e0b9fabcc36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B8FB67-D973-483D-B861-8D722BBB5DF1}"/>
</file>

<file path=customXml/itemProps2.xml><?xml version="1.0" encoding="utf-8"?>
<ds:datastoreItem xmlns:ds="http://schemas.openxmlformats.org/officeDocument/2006/customXml" ds:itemID="{81DF6365-3F1C-4E0E-B02C-997D4F3DCD4D}"/>
</file>

<file path=customXml/itemProps3.xml><?xml version="1.0" encoding="utf-8"?>
<ds:datastoreItem xmlns:ds="http://schemas.openxmlformats.org/officeDocument/2006/customXml" ds:itemID="{A1E30344-DC8D-4D85-A901-3880BD2214FE}"/>
</file>

<file path=customXml/itemProps4.xml><?xml version="1.0" encoding="utf-8"?>
<ds:datastoreItem xmlns:ds="http://schemas.openxmlformats.org/officeDocument/2006/customXml" ds:itemID="{F4E00CC8-54FF-4C8D-AF60-7596C0ED3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Portugal Telecom Sistemas de Informação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xpts258</dc:creator>
  <cp:keywords/>
  <dc:description/>
  <cp:lastModifiedBy>xpts258</cp:lastModifiedBy>
  <cp:revision>7</cp:revision>
  <cp:lastPrinted>2009-09-29T11:48:00Z</cp:lastPrinted>
  <dcterms:created xsi:type="dcterms:W3CDTF">2009-09-29T14:13:00Z</dcterms:created>
  <dcterms:modified xsi:type="dcterms:W3CDTF">2009-10-07T09:26:00Z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0x010100A6E13E637CB7854AB0006F4892F88FE0</vt:lpwstr>
  </property>
</Properties>
</file>